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вопросами, с которыми обращ</w:t>
      </w:r>
      <w:r>
        <w:rPr>
          <w:rFonts w:ascii="Times New Roman" w:hAnsi="Times New Roman"/>
          <w:color w:val="000000"/>
          <w:sz w:val="28"/>
          <w:szCs w:val="28"/>
        </w:rPr>
        <w:t xml:space="preserve">ал</w:t>
      </w:r>
      <w:r>
        <w:rPr>
          <w:rFonts w:ascii="Times New Roman" w:hAnsi="Times New Roman"/>
          <w:color w:val="000000"/>
          <w:sz w:val="28"/>
          <w:szCs w:val="28"/>
        </w:rPr>
        <w:t xml:space="preserve">ись граждане в Министерство в 1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квартале 2025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являлись: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налоговой ставки</w:t>
      </w:r>
      <w:r>
        <w:rPr>
          <w:color w:val="000000"/>
          <w:sz w:val="28"/>
          <w:szCs w:val="28"/>
        </w:rPr>
        <w:t xml:space="preserve"> и исключение объектов недвижимости из </w:t>
      </w:r>
      <w:r>
        <w:rPr>
          <w:sz w:val="28"/>
          <w:szCs w:val="28"/>
        </w:rPr>
        <w:t xml:space="preserve">Перечня объектов недвижимости, в отношении которых налоговая база определяется как кадастровая стоимость, в целях уменьшения налога на имущество.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4"/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рамках рассмотрения поступивших</w:t>
      </w:r>
      <w:r>
        <w:rPr>
          <w:sz w:val="28"/>
          <w:szCs w:val="28"/>
        </w:rPr>
        <w:t xml:space="preserve"> обращений Министерство осуществляет мероприятия по определению вида фактического использования объектов недвижимости с выездом на место. В результате проведенных мероприятий гражданину даются разъяснения о соответствии/несоответствии объекта недвижимости </w:t>
      </w:r>
      <w:r>
        <w:rPr>
          <w:rFonts w:eastAsia="Calibri"/>
          <w:bCs/>
          <w:sz w:val="28"/>
          <w:szCs w:val="28"/>
          <w:lang w:eastAsia="en-US"/>
        </w:rPr>
        <w:t xml:space="preserve">критериям, установленным </w:t>
      </w:r>
      <w:r>
        <w:rPr>
          <w:rFonts w:eastAsia="Calibri"/>
          <w:sz w:val="28"/>
          <w:szCs w:val="28"/>
          <w:lang w:eastAsia="en-US"/>
        </w:rPr>
        <w:t xml:space="preserve">статьёй 378.2 Налогового кодекса Российской Федерации. В случае положительного решения вопроса Министерство готовит </w:t>
      </w:r>
      <w:r>
        <w:rPr>
          <w:sz w:val="28"/>
          <w:szCs w:val="28"/>
        </w:rPr>
        <w:t xml:space="preserve">проект постановления Правительства Удмуртской Республики.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бесплатного земельного участка многодетным семьям, многодетным семьям с детьми-инвалидами. </w:t>
      </w:r>
      <w:r>
        <w:rPr>
          <w:color w:val="000000"/>
          <w:sz w:val="28"/>
          <w:szCs w:val="28"/>
        </w:rPr>
      </w:r>
    </w:p>
    <w:p>
      <w:pPr>
        <w:pStyle w:val="624"/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формирует запросы в органы местного самоуправления, обратившимся гражданам разъясняет порядок бесплатного предоставления земельного участка для индивидуального жилищного строительства.</w:t>
      </w:r>
      <w:r>
        <w:rPr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709"/>
        <w:jc w:val="both"/>
        <w:shd w:val="clear" w:color="auto" w:fill="ffffff"/>
      </w:pPr>
      <w:r>
        <w:rPr>
          <w:color w:val="000000"/>
          <w:sz w:val="28"/>
          <w:szCs w:val="28"/>
        </w:rPr>
        <w:t xml:space="preserve">Предоставление земельного участка в аренду. </w:t>
      </w:r>
      <w:r/>
    </w:p>
    <w:p>
      <w:pPr>
        <w:pStyle w:val="624"/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дает пояснения гражданину о порядке предоставления земельного участка, находящегося в государственной или муниципальной собственности, в аренду без проведения торгов, посредством аукциона.</w:t>
      </w:r>
      <w:r>
        <w:rPr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кадастровой стоимости объектов недвижимости, согласование границ, схемы расположения земельных участков. </w:t>
      </w:r>
      <w:r>
        <w:rPr>
          <w:color w:val="000000"/>
          <w:sz w:val="28"/>
          <w:szCs w:val="28"/>
        </w:rPr>
      </w:r>
    </w:p>
    <w:p>
      <w:pPr>
        <w:pStyle w:val="624"/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разъясняет гражданину порядок оспаривания кадастровой стоимости, возможность ее корректировки, готовит распоряжения</w:t>
      </w:r>
      <w:r>
        <w:rPr>
          <w:rStyle w:val="623"/>
          <w:b w:val="0"/>
        </w:rPr>
        <w:t xml:space="preserve"> о </w:t>
      </w:r>
      <w:r>
        <w:rPr>
          <w:rStyle w:val="625"/>
        </w:rPr>
        <w:t xml:space="preserve">согласовании местоположения границ земельного участка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3600"/>
        <w:gridCol w:w="2145"/>
        <w:gridCol w:w="1335"/>
        <w:gridCol w:w="1335"/>
        <w:gridCol w:w="1335"/>
        <w:gridCol w:w="1335"/>
        <w:gridCol w:w="1335"/>
        <w:gridCol w:w="1335"/>
        <w:gridCol w:w="1335"/>
        <w:gridCol w:w="1335"/>
      </w:tblGrid>
      <w:tr>
        <w:tblPrEx/>
        <w:trPr>
          <w:trHeight w:val="2490"/>
        </w:trPr>
        <w:tc>
          <w:tcPr>
            <w:shd w:val="clear" w:color="d7e3bc" w:fill="d7e3bc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Наименование органа государственной власти/органа местного самоуправления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Общее количество обращений, поступивших в порядке, установленном 59-ФЗ*</w:t>
            </w:r>
            <w:r/>
            <w:r/>
          </w:p>
        </w:tc>
        <w:tc>
          <w:tcPr>
            <w:gridSpan w:val="8"/>
            <w:shd w:val="clear" w:color="d7e3bc" w:fill="d7e3bc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том числе, общее количество обращений по социально значимым тематикам:</w:t>
            </w:r>
            <w:r/>
            <w:r/>
          </w:p>
        </w:tc>
      </w:tr>
      <w:tr>
        <w:tblPrEx/>
        <w:trPr>
          <w:trHeight w:val="840"/>
        </w:trPr>
        <w:tc>
          <w:tcPr>
            <w:shd w:val="clear" w:color="d7e3bc" w:fill="d7e3bc"/>
            <w:tcBorders>
              <w:top w:val="non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non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Здравоохранение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Дороги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ЖКХ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Соцзащита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ТКО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Транспорт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Энергетика</w:t>
            </w:r>
            <w:r/>
            <w:r/>
          </w:p>
        </w:tc>
      </w:tr>
      <w:tr>
        <w:tblPrEx/>
        <w:trPr>
          <w:trHeight w:val="6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Министерство имущественных отношений Удмуртской Республики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56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1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6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</w:tr>
    </w:tbl>
    <w:p>
      <w:pPr>
        <w:pStyle w:val="618"/>
      </w:pPr>
      <w:r/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19">
    <w:name w:val="Заголовок 1"/>
    <w:basedOn w:val="618"/>
    <w:next w:val="618"/>
    <w:link w:val="623"/>
    <w:qFormat/>
    <w:pPr>
      <w:jc w:val="center"/>
      <w:keepNext/>
      <w:spacing w:before="120" w:after="240" w:line="240" w:lineRule="auto"/>
      <w:outlineLvl w:val="0"/>
    </w:pPr>
    <w:rPr>
      <w:rFonts w:ascii="Times New Roman" w:hAnsi="Times New Roman"/>
      <w:b/>
      <w:sz w:val="28"/>
      <w:szCs w:val="20"/>
      <w:lang w:val="en-US" w:eastAsia="en-US"/>
    </w:rPr>
  </w:style>
  <w:style w:type="character" w:styleId="620">
    <w:name w:val="Основной шрифт абзаца"/>
    <w:next w:val="620"/>
    <w:link w:val="618"/>
    <w:uiPriority w:val="1"/>
    <w:semiHidden/>
    <w:unhideWhenUsed/>
  </w:style>
  <w:style w:type="table" w:styleId="621">
    <w:name w:val="Обычная таблица"/>
    <w:next w:val="621"/>
    <w:link w:val="618"/>
    <w:uiPriority w:val="99"/>
    <w:semiHidden/>
    <w:unhideWhenUsed/>
    <w:tblPr/>
  </w:style>
  <w:style w:type="numbering" w:styleId="622">
    <w:name w:val="Нет списка"/>
    <w:next w:val="622"/>
    <w:link w:val="618"/>
    <w:uiPriority w:val="99"/>
    <w:semiHidden/>
    <w:unhideWhenUsed/>
  </w:style>
  <w:style w:type="character" w:styleId="623">
    <w:name w:val="Заголовок 1 Знак"/>
    <w:next w:val="623"/>
    <w:link w:val="619"/>
    <w:rPr>
      <w:rFonts w:ascii="Times New Roman" w:hAnsi="Times New Roman" w:eastAsia="Times New Roman" w:cs="Times New Roman"/>
      <w:b/>
      <w:sz w:val="28"/>
      <w:szCs w:val="20"/>
    </w:rPr>
  </w:style>
  <w:style w:type="paragraph" w:styleId="624">
    <w:name w:val="Абзац списка"/>
    <w:basedOn w:val="618"/>
    <w:next w:val="624"/>
    <w:link w:val="61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625">
    <w:name w:val="fontstyle01"/>
    <w:next w:val="625"/>
    <w:link w:val="618"/>
    <w:rPr>
      <w:rFonts w:ascii="Times New Roman" w:hAnsi="Times New Roman" w:cs="Times New Roman"/>
      <w:color w:val="000000"/>
      <w:sz w:val="28"/>
      <w:szCs w:val="28"/>
    </w:rPr>
  </w:style>
  <w:style w:type="character" w:styleId="1071" w:default="1">
    <w:name w:val="Default Paragraph Font"/>
    <w:uiPriority w:val="1"/>
    <w:semiHidden/>
    <w:unhideWhenUsed/>
  </w:style>
  <w:style w:type="numbering" w:styleId="1072" w:default="1">
    <w:name w:val="No List"/>
    <w:uiPriority w:val="99"/>
    <w:semiHidden/>
    <w:unhideWhenUsed/>
  </w:style>
  <w:style w:type="table" w:styleId="10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Perevoshchikova_ZhA</dc:creator>
  <cp:lastModifiedBy>perevoshchikova_zha</cp:lastModifiedBy>
  <cp:revision>6</cp:revision>
  <dcterms:created xsi:type="dcterms:W3CDTF">2024-07-22T03:46:00Z</dcterms:created>
  <dcterms:modified xsi:type="dcterms:W3CDTF">2025-03-28T05:08:08Z</dcterms:modified>
  <cp:version>786432</cp:version>
</cp:coreProperties>
</file>